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欧盟成员国民主倒退的制度机制</w:t>
      </w:r>
    </w:p>
    <w:p>
      <w:pPr>
        <w:pStyle w:val="Subtitle"/>
      </w:pPr>
      <w:r>
        <w:t>匈牙利与波兰的比较分析</w:t>
      </w:r>
    </w:p>
    <w:p>
      <w:pPr>
        <w:widowControl/>
      </w:pPr>
      <w:r>
        <w:rPr>
          <w:sz w:val="21"/>
        </w:rPr>
        <w:t>北京语言大学比较政治学研究期中报告基础稿</w:t>
      </w:r>
    </w:p>
    <w:p>
      <w:pPr>
        <w:widowControl/>
      </w:pPr>
      <w:r>
        <w:rPr>
          <w:sz w:val="21"/>
        </w:rPr>
        <w:t>研究时段为2010至2023年。匈牙利以2010年后为观察起点，波兰以2015至2023年法律与公正党执政时期为重点；2023年末用于观察选举更替与欧盟政策反馈。本文讨论这一历史阶段的机制与差异。</w:t>
      </w:r>
    </w:p>
    <w:p>
      <w:pPr>
        <w:pStyle w:val="Heading1"/>
      </w:pPr>
      <w:r>
        <w:t>摘要</w:t>
      </w:r>
    </w:p>
    <w:p>
      <w:pPr>
        <w:widowControl/>
      </w:pPr>
      <w:r>
        <w:t>匈牙利与波兰均于2004年加入欧盟，却先后出现司法独立受损、公共媒体政治化与行政权扩张。本文结合结构化比较与关键事件分析，考察两国执政党如何将选举胜利转化为对监督机构和政治竞争规则的控制，并评估欧盟法治工具的约束范围。分析认为，能否取得修宪多数，影响执政党改造制度的可用手段与覆盖范围；司法、媒体与选举规则之间的相互作用，则使一次选举获得的优势可能延续到后续竞争。匈牙利的修宪多数便利了跨领域的制度重构，波兰执政党缺乏修宪多数，主要通过普通立法和人事安排推进权力集中，至2023年仍面临能够实现执政更替的政治竞争。欧盟法律与资金工具可以推动部分制度纠偏，其效果应通过具体改革及执行情况判断。局部合规与整体民主恢复之间，仍有需要分别检验的距离。</w:t>
      </w:r>
    </w:p>
    <w:p>
      <w:pPr>
        <w:widowControl/>
      </w:pPr>
      <w:r>
        <w:t>关键词：民主倒退；行政权扩张；制度制衡；欧盟法治条件性；匈牙利；波兰</w:t>
      </w:r>
    </w:p>
    <w:p>
      <w:pPr>
        <w:pStyle w:val="Heading1"/>
      </w:pPr>
      <w:r>
        <w:t>一 研究问题与比较范围</w:t>
      </w:r>
    </w:p>
    <w:p>
      <w:pPr>
        <w:widowControl/>
      </w:pPr>
      <w:r>
        <w:t>欧盟以民主、法治与人权作为成员资格的重要条件，入盟审查也曾对中东欧国家的制度改革产生约束。因此，成员资格与民主倒退同时存在，提出了一个值得解释的问题：以入盟审查为基础的外部约束，为何未能阻止成员国内部的权力集中？匈牙利与波兰为这一问题提供了两个具有共同区域背景、却存在制度差异的案例。</w:t>
      </w:r>
    </w:p>
    <w:p>
      <w:pPr>
        <w:widowControl/>
      </w:pPr>
      <w:r>
        <w:t>本文将上述问题进一步分解为两个相互联系的层次。国内层次考察，执政党掌握不同程度的制度改造权时，会如何改变监督机构，并影响后续政治竞争。欧盟层次考察，外部监督通过何种程序介入，能够推动哪些变化，以及这些变化是否足以支持民主恢复的判断。两层分析共同回答欧盟成员资格为何没有自动转化为持续有效的民主保障。</w:t>
      </w:r>
    </w:p>
    <w:p>
      <w:pPr>
        <w:widowControl/>
      </w:pPr>
      <w:r>
        <w:t>案例选择具有若干可比基础：两国均经历1989年后的政治转型，2004年加入欧盟，并在2010年代出现执政党推动的司法与媒体制度变更。比较围绕相同问题展开，即执政起点的议会权力、制度改造手段、监督机构变化、选举竞争条件和欧盟政策反馈。这样的设计能够检视两条倒退路径及其机制；由于两个案例均发生倒退，本文对其他成员国为何未发生同类变化不作一般性因果推断。</w:t>
      </w:r>
    </w:p>
    <w:p>
      <w:pPr>
        <w:pStyle w:val="Heading1"/>
      </w:pPr>
      <w:r>
        <w:t>二 理论综述与分析框架</w:t>
      </w:r>
    </w:p>
    <w:p>
      <w:pPr>
        <w:pStyle w:val="Heading2"/>
      </w:pPr>
      <w:r>
        <w:t>民主倒退与行政权扩张</w:t>
      </w:r>
    </w:p>
    <w:p>
      <w:pPr>
        <w:widowControl/>
      </w:pPr>
      <w:r>
        <w:t>Bermeo将民主倒退界定为国家主导的、对维系既有民主的政治制度的削弱或消除，并指出行政权扩张和策略性选举操控在当代倒退过程中具有重要地位。[1] 这一概念的分析单位是制度变化的过程。政党上台、政策保守化或政府支持率上升，本身不足以构成民主倒退的证据；需要观察监督行政权、保障公共讨论和维持政治竞争的机构是否受到持续削弱。</w:t>
      </w:r>
    </w:p>
    <w:p>
      <w:pPr>
        <w:widowControl/>
      </w:pPr>
      <w:r>
        <w:t>本文据此关注三个方面：法院能否独立审查政府行为，媒体能否提供多元信息，以及反对派能否在具有实际竞争性的选举中争取执政。三者的变化使民主质量的下降能够通过具体机构及其运行得到观察，并将政策立场变化与政体变化加以区分。</w:t>
      </w:r>
    </w:p>
    <w:p>
      <w:pPr>
        <w:pStyle w:val="Heading2"/>
      </w:pPr>
      <w:r>
        <w:t>法律形式与制度控制</w:t>
      </w:r>
    </w:p>
    <w:p>
      <w:pPr>
        <w:widowControl/>
      </w:pPr>
      <w:r>
        <w:t>Scheppele关于威权法制主义的研究，解释了当选执政者如何借助选举授权、修法与组织改造，削弱限制自身权力的宪政安排。[2] 对匈牙利与波兰而言，这一视角的价值在于揭示法律变更之间的累积效应：单项改革可能以效率或制度更新为理由提出，多项改革叠加后，却可能改变监督者与被监督者之间的关系。</w:t>
      </w:r>
    </w:p>
    <w:p>
      <w:pPr>
        <w:widowControl/>
      </w:pPr>
      <w:r>
        <w:t>需要区分程序形式与法律评价。通过议会表决的措施仍可能违反宪法或欧盟法；涉及司法任命和法院裁决执行的争议，也不能概括为全部符合既有规则。因此，本文使用借助立法与人事安排削弱制衡这一表述，并依据具体机构的权限和实际独立性判断其后果。</w:t>
      </w:r>
    </w:p>
    <w:p>
      <w:pPr>
        <w:pStyle w:val="Heading2"/>
      </w:pPr>
      <w:r>
        <w:t>欧盟约束与成员国内部政治</w:t>
      </w:r>
    </w:p>
    <w:p>
      <w:pPr>
        <w:widowControl/>
      </w:pPr>
      <w:r>
        <w:t>Kelemen关于欧盟威权均衡的分析，将成员国内部的权力集中置于欧盟政党政治、资源分配与跨国制度联系之中。[3] 这一研究提示，欧盟成员资格带来的监督与资源供给可能同时存在。评价欧盟作用，需要考察不同工具的启动条件、作用对象与实际反馈。</w:t>
      </w:r>
    </w:p>
    <w:p>
      <w:pPr>
        <w:widowControl/>
      </w:pPr>
      <w:r>
        <w:t>结合上述研究，本文提出一条用于组织证据的机制链：选举胜利带来议会控制；修宪能力或普通立法权决定可采用的改造手段；法院、媒体等制衡机构受到干预；监督和公共竞争条件随之变化；执政优势因而可能延续。欧盟工具在这一过程中介入，通过裁判义务、政治压力或资金条件提高特定措施的成本。</w:t>
      </w:r>
    </w:p>
    <w:p>
      <w:pPr>
        <w:widowControl/>
      </w:pPr>
      <w:r>
        <w:t>这条机制链形成两个可以与案例事实对照的预期。其一，掌握修宪多数的执政党，更容易把改革推进到宪制层面，并使不同领域的制度变更相互配合。其二，缺乏修宪多数会限制可用手段，但普通立法和人事权仍可能造成严重的制度侵蚀。修宪能力由此影响制度改造的路径；政治竞争能否继续产生执政更替，则还由反对派组织、媒体环境与选民动员共同塑造。</w:t>
      </w:r>
    </w:p>
    <w:p>
      <w:pPr>
        <w:pStyle w:val="Heading1"/>
      </w:pPr>
      <w:r>
        <w:t>三 匈牙利的跨领域制度重构</w:t>
      </w:r>
    </w:p>
    <w:p>
      <w:pPr>
        <w:widowControl/>
      </w:pPr>
      <w:r>
        <w:t>2010年，青民盟与基民党联盟取得国会三分之二以上席位，具备独立推动宪法变更的议会条件。Scheppele的研究指出，这一多数使执政联盟能够在首个任期内重写宪法并大规模修改法律，同时干预司法、媒体与其他独立机构。[2] 2011年通过、2012年生效的新《基本法》，是这一过程的重要节点。[4]</w:t>
      </w:r>
    </w:p>
    <w:p>
      <w:pPr>
        <w:widowControl/>
      </w:pPr>
      <w:r>
        <w:t>修宪能力的作用，在于扩大执政党可以改变的规则层级。执政联盟既能够调整普通政策，也能够修改约束政策制定者的制度安排。法院组织、人事任命与权限变化，又会影响后续立法遭遇审查时的约束强度。媒体治理与选举规则的改变，则进一步影响反对派接触公众和争取选票的条件。不同领域由此发生联系，制度重构的后果超出任何一项法律的单独效果。</w:t>
      </w:r>
    </w:p>
    <w:p>
      <w:pPr>
        <w:widowControl/>
      </w:pPr>
      <w:r>
        <w:t>这一过程持续多年。Scheppele指出，宪法法院即使在成为早期目标后，也经历了数年的控制过程。[2] 权力集中的后果，在反复立法和人事更替中逐步累积，修宪多数则为这一过程提供了有利的制度条件。</w:t>
      </w:r>
    </w:p>
    <w:p>
      <w:pPr>
        <w:widowControl/>
      </w:pPr>
      <w:r>
        <w:t>到2022年，欧安组织民主制度与人权办公室对匈牙利选举的评估，仍承认候选人提供了不同政治选择，同时指出竞选缺乏公平竞争条件，执政联盟与政府的信息传播及活动广泛重合，媒体报道偏向限制了选民获取信息的机会。[5] 这一观察说明，正式选举持续存在，可以与竞争条件受损并行。本文据此判断制度重构对竞争环境产生了影响，同时将具体选举胜负与全部制度后果区分开来。</w:t>
      </w:r>
    </w:p>
    <w:p>
      <w:pPr>
        <w:pStyle w:val="Heading1"/>
      </w:pPr>
      <w:r>
        <w:t>四 波兰的普通立法与机构控制</w:t>
      </w:r>
    </w:p>
    <w:p>
      <w:pPr>
        <w:widowControl/>
      </w:pPr>
      <w:r>
        <w:t>2015年，法律与公正党获得众议院460席中的235席，拥有绝对多数，足以单独组织政府并推动普通立法，但未达到修宪所需多数。[6] 这一差异构成与匈牙利比较的制度起点。波兰执政党主要通过普通立法、人事任命及对机构运行的干预，推进对监督体系的控制。</w:t>
      </w:r>
    </w:p>
    <w:p>
      <w:pPr>
        <w:widowControl/>
      </w:pPr>
      <w:r>
        <w:t>宪法法院争议是这一过程的早期环节，其后改革扩展至最高法院、国家司法委员会和普通法院。欧盟委员会2017年启动相关程序时，列举了多项司法制度变更，并认为它们对司法独立与权力分立产生了累积影响。[7] 这些事实表明，缺少修宪多数仍可与广泛的制度侵蚀同时出现。</w:t>
      </w:r>
    </w:p>
    <w:p>
      <w:pPr>
        <w:widowControl/>
      </w:pPr>
      <w:r>
        <w:t>最高法院退休制度提供了一个可以具体追踪的例子。2017年通过、2018年生效的法律将最高法院法官退休年龄降至65岁，并适用于在任法官，同时赋予总统延长任职的裁量权。欧盟法院于2019年在C-619/18案中认定，相关规定违反欧盟法中的法官不可罢免与司法独立原则。[8] 这一案例既显示普通立法能够改变法院人员构成，也显示欧盟法律工具可以对具体措施形成约束。</w:t>
      </w:r>
    </w:p>
    <w:p>
      <w:pPr>
        <w:widowControl/>
      </w:pPr>
      <w:r>
        <w:t>2023年选举则为剩余政治竞争提供了观察窗口。欧安组织的报告同时记录了公共资源滥用、公共媒体偏向，以及反对派仍可自由竞选、多元政治选择仍然存在等事实。[9] 法律与公正党在选后失去组建多数政府的能力，由原反对党组成的新政府于12月上台。[10] 这说明选举问责在该时点仍然能够产生实际结果。</w:t>
      </w:r>
    </w:p>
    <w:p>
      <w:pPr>
        <w:widowControl/>
      </w:pPr>
      <w:r>
        <w:t>上述结果显示，司法和媒体制度受到侵蚀期间，波兰仍保留了足以实现执政更替的竞争空间。竞争空间与反对派协调、社会动员如何共同发挥作用，是解释此次更替的重要机制；选后的制度修复，则需要进一步考察司法任命、法院权威与公共媒体治理的实际变化。</w:t>
      </w:r>
    </w:p>
    <w:p>
      <w:pPr>
        <w:pStyle w:val="Heading1"/>
      </w:pPr>
      <w:r>
        <w:t>五 两国比较与机制判断</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474"/>
        <w:gridCol w:w="4082"/>
        <w:gridCol w:w="4082"/>
      </w:tblGrid>
      <w:tr>
        <w:trPr>
          <w:tblHeader/>
        </w:trPr>
        <w:tc>
          <w:tcPr>
            <w:tcW w:type="dxa" w:w="1474"/>
            <w:vAlign w:val="center"/>
            <w:tcMar>
              <w:top w:w="90" w:type="dxa"/>
              <w:bottom w:w="90" w:type="dxa"/>
              <w:left w:w="90" w:type="dxa"/>
              <w:right w:w="90" w:type="dxa"/>
            </w:tcMar>
            <w:shd w:fill="EDEDED"/>
          </w:tcPr>
          <w:p>
            <w:pPr>
              <w:spacing w:after="60" w:before="60" w:line="264" w:lineRule="auto"/>
            </w:pPr>
            <w:r>
              <w:rPr>
                <w:b/>
                <w:sz w:val="21"/>
              </w:rPr>
              <w:t>比较维度</w:t>
            </w:r>
          </w:p>
        </w:tc>
        <w:tc>
          <w:tcPr>
            <w:tcW w:type="dxa" w:w="4082"/>
            <w:vAlign w:val="center"/>
            <w:tcMar>
              <w:top w:w="90" w:type="dxa"/>
              <w:bottom w:w="90" w:type="dxa"/>
              <w:left w:w="90" w:type="dxa"/>
              <w:right w:w="90" w:type="dxa"/>
            </w:tcMar>
            <w:shd w:fill="EDEDED"/>
          </w:tcPr>
          <w:p>
            <w:pPr>
              <w:spacing w:after="60" w:before="60" w:line="264" w:lineRule="auto"/>
            </w:pPr>
            <w:r>
              <w:rPr>
                <w:b/>
                <w:sz w:val="21"/>
              </w:rPr>
              <w:t>匈牙利</w:t>
            </w:r>
          </w:p>
        </w:tc>
        <w:tc>
          <w:tcPr>
            <w:tcW w:type="dxa" w:w="4082"/>
            <w:vAlign w:val="center"/>
            <w:tcMar>
              <w:top w:w="90" w:type="dxa"/>
              <w:bottom w:w="90" w:type="dxa"/>
              <w:left w:w="90" w:type="dxa"/>
              <w:right w:w="90" w:type="dxa"/>
            </w:tcMar>
            <w:shd w:fill="EDEDED"/>
          </w:tcPr>
          <w:p>
            <w:pPr>
              <w:spacing w:after="60" w:before="60" w:line="264" w:lineRule="auto"/>
            </w:pPr>
            <w:r>
              <w:rPr>
                <w:b/>
                <w:sz w:val="21"/>
              </w:rPr>
              <w:t>波兰</w:t>
            </w:r>
          </w:p>
        </w:tc>
      </w:tr>
      <w:tr>
        <w:tc>
          <w:tcPr>
            <w:tcW w:type="dxa" w:w="1474"/>
            <w:vAlign w:val="center"/>
            <w:tcMar>
              <w:top w:w="90" w:type="dxa"/>
              <w:bottom w:w="90" w:type="dxa"/>
              <w:left w:w="90" w:type="dxa"/>
              <w:right w:w="90" w:type="dxa"/>
            </w:tcMar>
          </w:tcPr>
          <w:p>
            <w:pPr>
              <w:spacing w:after="60" w:before="60" w:line="264" w:lineRule="auto"/>
            </w:pPr>
            <w:r>
              <w:rPr>
                <w:sz w:val="21"/>
              </w:rPr>
              <w:t>关键执政起点</w:t>
            </w:r>
          </w:p>
        </w:tc>
        <w:tc>
          <w:tcPr>
            <w:tcW w:type="dxa" w:w="4082"/>
            <w:vAlign w:val="center"/>
            <w:tcMar>
              <w:top w:w="90" w:type="dxa"/>
              <w:bottom w:w="90" w:type="dxa"/>
              <w:left w:w="90" w:type="dxa"/>
              <w:right w:w="90" w:type="dxa"/>
            </w:tcMar>
          </w:tcPr>
          <w:p>
            <w:pPr>
              <w:spacing w:after="60" w:before="60" w:line="264" w:lineRule="auto"/>
            </w:pPr>
            <w:r>
              <w:rPr>
                <w:sz w:val="21"/>
              </w:rPr>
              <w:t>2010年执政联盟取得修宪多数</w:t>
            </w:r>
          </w:p>
        </w:tc>
        <w:tc>
          <w:tcPr>
            <w:tcW w:type="dxa" w:w="4082"/>
            <w:vAlign w:val="center"/>
            <w:tcMar>
              <w:top w:w="90" w:type="dxa"/>
              <w:bottom w:w="90" w:type="dxa"/>
              <w:left w:w="90" w:type="dxa"/>
              <w:right w:w="90" w:type="dxa"/>
            </w:tcMar>
          </w:tcPr>
          <w:p>
            <w:pPr>
              <w:spacing w:after="60" w:before="60" w:line="264" w:lineRule="auto"/>
            </w:pPr>
            <w:r>
              <w:rPr>
                <w:sz w:val="21"/>
              </w:rPr>
              <w:t>2015年PiS取得绝对多数，未达修宪多数</w:t>
            </w:r>
          </w:p>
        </w:tc>
      </w:tr>
      <w:tr>
        <w:tc>
          <w:tcPr>
            <w:tcW w:type="dxa" w:w="1474"/>
            <w:vAlign w:val="center"/>
            <w:tcMar>
              <w:top w:w="90" w:type="dxa"/>
              <w:bottom w:w="90" w:type="dxa"/>
              <w:left w:w="90" w:type="dxa"/>
              <w:right w:w="90" w:type="dxa"/>
            </w:tcMar>
          </w:tcPr>
          <w:p>
            <w:pPr>
              <w:spacing w:after="60" w:before="60" w:line="264" w:lineRule="auto"/>
            </w:pPr>
            <w:r>
              <w:rPr>
                <w:sz w:val="21"/>
              </w:rPr>
              <w:t>主要制度手段</w:t>
            </w:r>
          </w:p>
        </w:tc>
        <w:tc>
          <w:tcPr>
            <w:tcW w:type="dxa" w:w="4082"/>
            <w:vAlign w:val="center"/>
            <w:tcMar>
              <w:top w:w="90" w:type="dxa"/>
              <w:bottom w:w="90" w:type="dxa"/>
              <w:left w:w="90" w:type="dxa"/>
              <w:right w:w="90" w:type="dxa"/>
            </w:tcMar>
          </w:tcPr>
          <w:p>
            <w:pPr>
              <w:spacing w:after="60" w:before="60" w:line="264" w:lineRule="auto"/>
            </w:pPr>
            <w:r>
              <w:rPr>
                <w:sz w:val="21"/>
              </w:rPr>
              <w:t>新宪法、后续修宪、普通立法与人事安排</w:t>
            </w:r>
          </w:p>
        </w:tc>
        <w:tc>
          <w:tcPr>
            <w:tcW w:type="dxa" w:w="4082"/>
            <w:vAlign w:val="center"/>
            <w:tcMar>
              <w:top w:w="90" w:type="dxa"/>
              <w:bottom w:w="90" w:type="dxa"/>
              <w:left w:w="90" w:type="dxa"/>
              <w:right w:w="90" w:type="dxa"/>
            </w:tcMar>
          </w:tcPr>
          <w:p>
            <w:pPr>
              <w:spacing w:after="60" w:before="60" w:line="264" w:lineRule="auto"/>
            </w:pPr>
            <w:r>
              <w:rPr>
                <w:sz w:val="21"/>
              </w:rPr>
              <w:t>普通立法、人事安排与机构运行干预</w:t>
            </w:r>
          </w:p>
        </w:tc>
      </w:tr>
      <w:tr>
        <w:tc>
          <w:tcPr>
            <w:tcW w:type="dxa" w:w="1474"/>
            <w:vAlign w:val="center"/>
            <w:tcMar>
              <w:top w:w="90" w:type="dxa"/>
              <w:bottom w:w="90" w:type="dxa"/>
              <w:left w:w="90" w:type="dxa"/>
              <w:right w:w="90" w:type="dxa"/>
            </w:tcMar>
          </w:tcPr>
          <w:p>
            <w:pPr>
              <w:spacing w:after="60" w:before="60" w:line="264" w:lineRule="auto"/>
            </w:pPr>
            <w:r>
              <w:rPr>
                <w:sz w:val="21"/>
              </w:rPr>
              <w:t>制衡变化</w:t>
            </w:r>
          </w:p>
        </w:tc>
        <w:tc>
          <w:tcPr>
            <w:tcW w:type="dxa" w:w="4082"/>
            <w:vAlign w:val="center"/>
            <w:tcMar>
              <w:top w:w="90" w:type="dxa"/>
              <w:bottom w:w="90" w:type="dxa"/>
              <w:left w:w="90" w:type="dxa"/>
              <w:right w:w="90" w:type="dxa"/>
            </w:tcMar>
          </w:tcPr>
          <w:p>
            <w:pPr>
              <w:spacing w:after="60" w:before="60" w:line="264" w:lineRule="auto"/>
            </w:pPr>
            <w:r>
              <w:rPr>
                <w:sz w:val="21"/>
              </w:rPr>
              <w:t>跨司法、媒体与选举规则的长期改造</w:t>
            </w:r>
          </w:p>
        </w:tc>
        <w:tc>
          <w:tcPr>
            <w:tcW w:type="dxa" w:w="4082"/>
            <w:vAlign w:val="center"/>
            <w:tcMar>
              <w:top w:w="90" w:type="dxa"/>
              <w:bottom w:w="90" w:type="dxa"/>
              <w:left w:w="90" w:type="dxa"/>
              <w:right w:w="90" w:type="dxa"/>
            </w:tcMar>
          </w:tcPr>
          <w:p>
            <w:pPr>
              <w:spacing w:after="60" w:before="60" w:line="264" w:lineRule="auto"/>
            </w:pPr>
            <w:r>
              <w:rPr>
                <w:sz w:val="21"/>
              </w:rPr>
              <w:t>司法控制与公共媒体政治化持续推进</w:t>
            </w:r>
          </w:p>
        </w:tc>
      </w:tr>
      <w:tr>
        <w:tc>
          <w:tcPr>
            <w:tcW w:type="dxa" w:w="1474"/>
            <w:vAlign w:val="center"/>
            <w:tcMar>
              <w:top w:w="90" w:type="dxa"/>
              <w:bottom w:w="90" w:type="dxa"/>
              <w:left w:w="90" w:type="dxa"/>
              <w:right w:w="90" w:type="dxa"/>
            </w:tcMar>
          </w:tcPr>
          <w:p>
            <w:pPr>
              <w:spacing w:after="60" w:before="60" w:line="264" w:lineRule="auto"/>
            </w:pPr>
            <w:r>
              <w:rPr>
                <w:sz w:val="21"/>
              </w:rPr>
              <w:t>竞争环境证据</w:t>
            </w:r>
          </w:p>
        </w:tc>
        <w:tc>
          <w:tcPr>
            <w:tcW w:type="dxa" w:w="4082"/>
            <w:vAlign w:val="center"/>
            <w:tcMar>
              <w:top w:w="90" w:type="dxa"/>
              <w:bottom w:w="90" w:type="dxa"/>
              <w:left w:w="90" w:type="dxa"/>
              <w:right w:w="90" w:type="dxa"/>
            </w:tcMar>
          </w:tcPr>
          <w:p>
            <w:pPr>
              <w:spacing w:after="60" w:before="60" w:line="264" w:lineRule="auto"/>
            </w:pPr>
            <w:r>
              <w:rPr>
                <w:sz w:val="21"/>
              </w:rPr>
              <w:t>2022年观察报告指出缺乏公平竞争条件</w:t>
            </w:r>
          </w:p>
        </w:tc>
        <w:tc>
          <w:tcPr>
            <w:tcW w:type="dxa" w:w="4082"/>
            <w:vAlign w:val="center"/>
            <w:tcMar>
              <w:top w:w="90" w:type="dxa"/>
              <w:bottom w:w="90" w:type="dxa"/>
              <w:left w:w="90" w:type="dxa"/>
              <w:right w:w="90" w:type="dxa"/>
            </w:tcMar>
          </w:tcPr>
          <w:p>
            <w:pPr>
              <w:spacing w:after="60" w:before="60" w:line="264" w:lineRule="auto"/>
            </w:pPr>
            <w:r>
              <w:rPr>
                <w:sz w:val="21"/>
              </w:rPr>
              <w:t>2023年观察报告指出竞争仍在，但存在执政优势</w:t>
            </w:r>
          </w:p>
        </w:tc>
      </w:tr>
      <w:tr>
        <w:tc>
          <w:tcPr>
            <w:tcW w:type="dxa" w:w="1474"/>
            <w:vAlign w:val="center"/>
            <w:tcMar>
              <w:top w:w="90" w:type="dxa"/>
              <w:bottom w:w="90" w:type="dxa"/>
              <w:left w:w="90" w:type="dxa"/>
              <w:right w:w="90" w:type="dxa"/>
            </w:tcMar>
          </w:tcPr>
          <w:p>
            <w:pPr>
              <w:spacing w:after="60" w:before="60" w:line="264" w:lineRule="auto"/>
            </w:pPr>
            <w:r>
              <w:rPr>
                <w:sz w:val="21"/>
              </w:rPr>
              <w:t>截至2023年的观察</w:t>
            </w:r>
          </w:p>
        </w:tc>
        <w:tc>
          <w:tcPr>
            <w:tcW w:type="dxa" w:w="4082"/>
            <w:vAlign w:val="center"/>
            <w:tcMar>
              <w:top w:w="90" w:type="dxa"/>
              <w:bottom w:w="90" w:type="dxa"/>
              <w:left w:w="90" w:type="dxa"/>
              <w:right w:w="90" w:type="dxa"/>
            </w:tcMar>
          </w:tcPr>
          <w:p>
            <w:pPr>
              <w:spacing w:after="60" w:before="60" w:line="264" w:lineRule="auto"/>
            </w:pPr>
            <w:r>
              <w:rPr>
                <w:sz w:val="21"/>
              </w:rPr>
              <w:t>执政优势已在多个制度领域得到巩固</w:t>
            </w:r>
          </w:p>
        </w:tc>
        <w:tc>
          <w:tcPr>
            <w:tcW w:type="dxa" w:w="4082"/>
            <w:vAlign w:val="center"/>
            <w:tcMar>
              <w:top w:w="90" w:type="dxa"/>
              <w:bottom w:w="90" w:type="dxa"/>
              <w:left w:w="90" w:type="dxa"/>
              <w:right w:w="90" w:type="dxa"/>
            </w:tcMar>
          </w:tcPr>
          <w:p>
            <w:pPr>
              <w:spacing w:after="60" w:before="60" w:line="264" w:lineRule="auto"/>
            </w:pPr>
            <w:r>
              <w:rPr>
                <w:sz w:val="21"/>
              </w:rPr>
              <w:t>反对力量能够通过选举实现执政更替</w:t>
            </w:r>
          </w:p>
        </w:tc>
      </w:tr>
    </w:tbl>
    <w:p>
      <w:pPr>
        <w:spacing w:after="20"/>
      </w:pPr>
    </w:p>
    <w:p>
      <w:pPr>
        <w:widowControl/>
      </w:pPr>
      <w:r>
        <w:t>比较支持的主要判断，是修宪能力影响了制度改造的层级和范围。匈牙利能够同时处理普通法律与宪制规则，波兰则更多通过既有宪法框架下的立法和机构干预推进改革。两国均出现司法与媒体独立性受损，说明修宪多数并非民主倒退发生的必要条件。</w:t>
      </w:r>
    </w:p>
    <w:p>
      <w:pPr>
        <w:widowControl/>
      </w:pPr>
      <w:r>
        <w:t>后续结果需要沿着竞争机制继续解释。法院受控会影响争议解决，媒体偏向会影响公共信息，选举规则会影响政治资源如何转化为席位。它们共同改变在野力量竞争的条件。波兰2023年的更替与匈牙利2022年的竞争评估，为观察这一机制提供了不同侧面的材料；两次选举发生于不同年份和执政阶段，本文不据此计算倒退速度，也不把选举结果的差异全部归因于初始席位结构。</w:t>
      </w:r>
    </w:p>
    <w:p>
      <w:pPr>
        <w:pStyle w:val="Heading1"/>
      </w:pPr>
      <w:r>
        <w:t>六 欧盟政策工具及其约束边界</w:t>
      </w:r>
    </w:p>
    <w:p>
      <w:pPr>
        <w:pStyle w:val="Heading2"/>
      </w:pPr>
      <w:r>
        <w:t>第七条程序的政治门槛</w:t>
      </w:r>
    </w:p>
    <w:p>
      <w:pPr>
        <w:widowControl/>
      </w:pPr>
      <w:r>
        <w:t>《欧洲联盟条约》第7条包含不同阶段。第7条第1款下，理事会经欧洲议会同意，以五分之四多数认定存在严重违反共同价值的明显风险；第2款下，对严重且持续违反的认定，需要欧洲理事会一致同意，被审查国不参与相关表决；第3款下，中止部分成员权利的决定由理事会以特定多数作出。[7] 高一致性门槛集中在第2款的认定环节。</w:t>
      </w:r>
    </w:p>
    <w:p>
      <w:pPr>
        <w:widowControl/>
      </w:pPr>
      <w:r>
        <w:t>欧盟委员会于2017年对波兰提出第7条第1款程序，欧洲议会于2018年对匈牙利采取相应行动。[7][11] 成员国之间的政治支持与高一致性门槛结合，会提高程序进入后续阶段的难度。这一政治约束的实际强度，还取决于其他成员国立场及相关机构能否组织起足够支持。</w:t>
      </w:r>
    </w:p>
    <w:p>
      <w:pPr>
        <w:pStyle w:val="Heading2"/>
      </w:pPr>
      <w:r>
        <w:t>司法与资金工具的具体作用</w:t>
      </w:r>
    </w:p>
    <w:p>
      <w:pPr>
        <w:widowControl/>
      </w:pPr>
      <w:r>
        <w:t>侵权诉讼把争议措施转化为法院可以裁判的法律义务。波兰最高法院退休年龄案说明，这条路径能够对具体司法制度安排产生约束。[8] 其直接效果可以通过有关法律及执行变化观察，整体制衡体系的恢复则涉及更广泛的机构运行与权力关系。</w:t>
      </w:r>
    </w:p>
    <w:p>
      <w:pPr>
        <w:widowControl/>
      </w:pPr>
      <w:r>
        <w:t>资金工具同样需要区分法律依据。2022年12月，理事会依据预算条件性机制，决定暂停匈牙利三个凝聚政策项目约63亿欧元的预算承诺；该机制针对影响欧盟预算及财政利益的法治风险。[12] 它与复苏和韧性基金的改革里程碑、其他欧盟资金的拨付条件，各有不同的审查依据。</w:t>
      </w:r>
    </w:p>
    <w:p>
      <w:pPr>
        <w:widowControl/>
      </w:pPr>
      <w:r>
        <w:t>2023年12月，欧盟委员会认为匈牙利在司法独立方面满足了有关横向有利条件，允许其开始申请报销最高约102亿欧元的相关支出；同一公告仍维持预算条件性措施下约63亿欧元的暂停安排，并指出其他条件尚未满足。[13] 这是对政策效果作分层判断的重要证据：特定司法改革获得认可，与其他领域风险持续存在，可以同时发生。</w:t>
      </w:r>
    </w:p>
    <w:p>
      <w:pPr>
        <w:widowControl/>
      </w:pPr>
      <w:r>
        <w:t>据此，资金条件可以为具体改革提供激励，政策评价应继续追踪改革是否实际执行、能否持续，以及是否改善政治竞争。资金约束的成效，需要结合条件设计、执行能力和成员国的政治反应衡量；局部拨款决定与整体民主状况，则对应不同层次的评价对象。</w:t>
      </w:r>
    </w:p>
    <w:p>
      <w:pPr>
        <w:pStyle w:val="Heading1"/>
      </w:pPr>
      <w:r>
        <w:t>七 结论</w:t>
      </w:r>
    </w:p>
    <w:p>
      <w:pPr>
        <w:widowControl/>
      </w:pPr>
      <w:r>
        <w:t>匈牙利与波兰的经验表明，入盟时满足政治条件，无法自动保证成员国此后的制度制衡持续有效。执政党能够借助选举产生的议会权力干预监督机构，并通过法院、媒体和竞争规则之间的联系，延续自身的政治优势。修宪能力影响这一过程采用的手段与覆盖范围，剩余竞争空间则影响选举问责能否继续产生实际结果。</w:t>
      </w:r>
    </w:p>
    <w:p>
      <w:pPr>
        <w:widowControl/>
      </w:pPr>
      <w:r>
        <w:t>两国比较支持一项有范围的制度解释：匈牙利的修宪多数便利了跨领域重构；波兰虽缺乏修宪多数，仍出现明显倒退，但至2023年保留了实现执政更替的政治竞争。欧盟法律与资金工具可以推动具体纠偏，其成效应落实到改革内容、执行情况及持续性。至于整体民主恢复，还需对司法、媒体和选举竞争分别观察。</w:t>
      </w:r>
    </w:p>
    <w:p>
      <w:r>
        <w:br w:type="page"/>
      </w:r>
    </w:p>
    <w:p>
      <w:pPr>
        <w:pStyle w:val="Heading1"/>
      </w:pPr>
      <w:r>
        <w:t>参考文献与资料</w:t>
      </w:r>
    </w:p>
    <w:p>
      <w:pPr>
        <w:widowControl/>
        <w:spacing w:after="140"/>
      </w:pPr>
      <w:r>
        <w:rPr>
          <w:sz w:val="21"/>
        </w:rPr>
        <w:t xml:space="preserve">[1] Bermeo, Nancy. 2016. On Democratic Backsliding. Journal of Democracy, 27(1): 5–19. </w:t>
      </w:r>
      <w:hyperlink r:id="rId11">
        <w:r>
          <w:rPr>
            <w:color w:val="000000"/>
          </w:rPr>
          <w:t>原文链接</w:t>
        </w:r>
      </w:hyperlink>
      <w:r>
        <w:rPr>
          <w:sz w:val="21"/>
        </w:rPr>
      </w:r>
    </w:p>
    <w:p>
      <w:pPr>
        <w:widowControl/>
        <w:spacing w:after="140"/>
      </w:pPr>
      <w:r>
        <w:rPr>
          <w:sz w:val="21"/>
        </w:rPr>
        <w:t>[2] Scheppele, Kim Lane. 2018. Autocratic Legalism. University of Chicago Law Review, 85(2). 期刊全文：</w:t>
      </w:r>
      <w:hyperlink r:id="rId12">
        <w:r>
          <w:rPr>
            <w:color w:val="000000"/>
          </w:rPr>
          <w:t>原文链接</w:t>
        </w:r>
      </w:hyperlink>
      <w:r>
        <w:rPr>
          <w:sz w:val="21"/>
        </w:rPr>
      </w:r>
    </w:p>
    <w:p>
      <w:pPr>
        <w:widowControl/>
        <w:spacing w:after="140"/>
      </w:pPr>
      <w:r>
        <w:rPr>
          <w:sz w:val="21"/>
        </w:rPr>
        <w:t xml:space="preserve">[3] Kelemen, R. Daniel. 2020. The European Union’s Authoritarian Equilibrium. Journal of European Public Policy, 27(3): 481–499. </w:t>
      </w:r>
      <w:hyperlink r:id="rId13">
        <w:r>
          <w:rPr>
            <w:color w:val="000000"/>
          </w:rPr>
          <w:t>原文链接</w:t>
        </w:r>
      </w:hyperlink>
      <w:r>
        <w:rPr>
          <w:sz w:val="21"/>
        </w:rPr>
      </w:r>
    </w:p>
    <w:p>
      <w:pPr>
        <w:widowControl/>
        <w:spacing w:after="140"/>
      </w:pPr>
      <w:r>
        <w:rPr>
          <w:sz w:val="21"/>
        </w:rPr>
        <w:t>[4] Government of Hungary. The Hungarian State: The Fundamental Law. 官方历史介绍，载2011年通过与2012年1月1日生效日期。</w:t>
      </w:r>
      <w:hyperlink r:id="rId14">
        <w:r>
          <w:rPr>
            <w:color w:val="000000"/>
          </w:rPr>
          <w:t>原文链接</w:t>
        </w:r>
      </w:hyperlink>
      <w:r>
        <w:rPr>
          <w:sz w:val="21"/>
        </w:rPr>
      </w:r>
    </w:p>
    <w:p>
      <w:pPr>
        <w:widowControl/>
        <w:spacing w:after="140"/>
      </w:pPr>
      <w:r>
        <w:rPr>
          <w:sz w:val="21"/>
        </w:rPr>
        <w:t>[5] OSCE/ODIHR. 2022. Hungary Parliamentary Elections and Referendum 2022: ODIHR Election Observation Mission Final Report. 官方摘要与报告入口：</w:t>
      </w:r>
      <w:hyperlink r:id="rId15">
        <w:r>
          <w:rPr>
            <w:color w:val="000000"/>
          </w:rPr>
          <w:t>原文链接</w:t>
        </w:r>
      </w:hyperlink>
      <w:r>
        <w:rPr>
          <w:sz w:val="21"/>
        </w:rPr>
      </w:r>
    </w:p>
    <w:p>
      <w:pPr>
        <w:widowControl/>
        <w:spacing w:after="140"/>
      </w:pPr>
      <w:r>
        <w:rPr>
          <w:sz w:val="21"/>
        </w:rPr>
        <w:t xml:space="preserve">[6] Parliamentary Assembly of the Council of Europe. 2017. The Functioning of Democratic Institutions in Poland. 9 May, AS/MON(2017)14. </w:t>
      </w:r>
      <w:hyperlink r:id="rId16">
        <w:r>
          <w:rPr>
            <w:color w:val="000000"/>
          </w:rPr>
          <w:t>原文链接</w:t>
        </w:r>
      </w:hyperlink>
      <w:r>
        <w:rPr>
          <w:sz w:val="21"/>
        </w:rPr>
      </w:r>
    </w:p>
    <w:p>
      <w:pPr>
        <w:widowControl/>
        <w:spacing w:after="140"/>
      </w:pPr>
      <w:r>
        <w:rPr>
          <w:sz w:val="21"/>
        </w:rPr>
        <w:t>[7] European Commission. 2017. Rule of Law: European Commission Acts to Defend Judicial Independence in Poland. 20 December, IP/17/5367. 附件载第7条全文。</w:t>
      </w:r>
      <w:hyperlink r:id="rId17">
        <w:r>
          <w:rPr>
            <w:color w:val="000000"/>
          </w:rPr>
          <w:t>原文链接</w:t>
        </w:r>
      </w:hyperlink>
      <w:r>
        <w:rPr>
          <w:sz w:val="21"/>
        </w:rPr>
      </w:r>
    </w:p>
    <w:p>
      <w:pPr>
        <w:widowControl/>
        <w:spacing w:after="140"/>
      </w:pPr>
      <w:r>
        <w:rPr>
          <w:sz w:val="21"/>
        </w:rPr>
        <w:t>[8] Court of Justice of the European Union. 2019. Commission v Poland, C-619/18, Judgment of 24 June 2019. 官方案情及判决说明：</w:t>
      </w:r>
      <w:hyperlink r:id="rId18">
        <w:r>
          <w:rPr>
            <w:color w:val="000000"/>
          </w:rPr>
          <w:t>原文链接</w:t>
        </w:r>
      </w:hyperlink>
      <w:r>
        <w:rPr>
          <w:sz w:val="21"/>
        </w:rPr>
      </w:r>
    </w:p>
    <w:p>
      <w:pPr>
        <w:widowControl/>
        <w:spacing w:after="140"/>
      </w:pPr>
      <w:r>
        <w:rPr>
          <w:sz w:val="21"/>
        </w:rPr>
        <w:t>[9] OSCE/ODIHR. 2023. Poland’s Parliamentary Elections Were Competitive but Marked by Misuse of Public Resources and Public Media Bias, International Observers Say. 页面日期17 October，正文新闻稿日期16 October。</w:t>
      </w:r>
      <w:hyperlink r:id="rId19">
        <w:r>
          <w:rPr>
            <w:color w:val="000000"/>
          </w:rPr>
          <w:t>原文链接</w:t>
        </w:r>
      </w:hyperlink>
      <w:r>
        <w:rPr>
          <w:sz w:val="21"/>
        </w:rPr>
      </w:r>
    </w:p>
    <w:p>
      <w:pPr>
        <w:widowControl/>
        <w:spacing w:after="140"/>
      </w:pPr>
      <w:r>
        <w:rPr>
          <w:sz w:val="21"/>
        </w:rPr>
        <w:t xml:space="preserve">[10] Fella, Stefano. 2024. Poland: 2023 Parliamentary Elections and New Government. UK House of Commons Library, 30 January, Research Briefing CBP-9951. </w:t>
      </w:r>
      <w:hyperlink r:id="rId20">
        <w:r>
          <w:rPr>
            <w:color w:val="000000"/>
          </w:rPr>
          <w:t>原文链接</w:t>
        </w:r>
      </w:hyperlink>
      <w:r>
        <w:rPr>
          <w:sz w:val="21"/>
        </w:rPr>
      </w:r>
    </w:p>
    <w:p>
      <w:pPr>
        <w:widowControl/>
        <w:spacing w:after="140"/>
      </w:pPr>
      <w:r>
        <w:rPr>
          <w:sz w:val="21"/>
        </w:rPr>
        <w:t xml:space="preserve">[11] European Parliament. 2018. Rule of Law in Hungary: Parliament Calls on the EU to Act. 12 September. </w:t>
      </w:r>
      <w:hyperlink r:id="rId21">
        <w:r>
          <w:rPr>
            <w:color w:val="000000"/>
          </w:rPr>
          <w:t>原文链接</w:t>
        </w:r>
      </w:hyperlink>
      <w:r>
        <w:rPr>
          <w:sz w:val="21"/>
        </w:rPr>
      </w:r>
    </w:p>
    <w:p>
      <w:pPr>
        <w:widowControl/>
        <w:spacing w:after="140"/>
      </w:pPr>
      <w:r>
        <w:rPr>
          <w:sz w:val="21"/>
        </w:rPr>
        <w:t>[12] Council of the European Union. 2022. Rule of Law Conditionality Mechanism: Council Decides to Suspend €6.3 Billion Given Only Partial Remedial Action by Hungary. 12 December；相关实施决定于15 December通过。</w:t>
      </w:r>
      <w:hyperlink r:id="rId22">
        <w:r>
          <w:rPr>
            <w:color w:val="000000"/>
          </w:rPr>
          <w:t>原文链接</w:t>
        </w:r>
      </w:hyperlink>
      <w:r>
        <w:rPr>
          <w:sz w:val="21"/>
        </w:rPr>
      </w:r>
    </w:p>
    <w:p>
      <w:pPr>
        <w:widowControl/>
        <w:spacing w:after="140"/>
      </w:pPr>
      <w:r>
        <w:rPr>
          <w:sz w:val="21"/>
        </w:rPr>
        <w:t xml:space="preserve">[13] European Commission. 2023. Commission Considers That Hungary’s Judicial Reform Addressed Deficiencies in Judicial Independence, but Maintains Measures on Budget Conditionality. 13 December, IP/23/6465. </w:t>
      </w:r>
      <w:hyperlink r:id="rId23">
        <w:r>
          <w:rPr>
            <w:color w:val="000000"/>
          </w:rPr>
          <w:t>原文链接</w:t>
        </w:r>
      </w:hyperlink>
      <w:r>
        <w:rPr>
          <w:sz w:val="21"/>
        </w:rPr>
      </w:r>
    </w:p>
    <w:sectPr w:rsidR="00FC693F" w:rsidRPr="0006063C" w:rsidSect="00034616">
      <w:headerReference w:type="default" r:id="rId9"/>
      <w:footerReference w:type="default" r:id="rId10"/>
      <w:pgSz w:w="12240" w:h="15840"/>
      <w:pgMar w:top="1191" w:right="1276" w:bottom="1134"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比较政治学研究  期中课堂报告</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8" w:lineRule="auto" w:after="100"/>
    </w:pPr>
    <w:rPr>
      <w:rFonts w:ascii="Times New Roman" w:hAnsi="Times New Roman" w:eastAsia="宋体"/>
      <w:b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Times New Roman" w:hAnsi="Times New Roman" w:eastAsia="黑体"/>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Times New Roman" w:hAnsi="Times New Roman" w:eastAsia="黑体"/>
      <w:b w:val="0"/>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Times New Roman" w:hAnsi="Times New Roman" w:eastAsia="黑体"/>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Times New Roman" w:hAnsi="Times New Roman" w:eastAsia="黑体"/>
      <w:b w:val="0"/>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Times New Roman" w:hAnsi="Times New Roman" w:eastAsia="宋体"/>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journalofdemocracy.org/articles/on-democratic-backsliding/" TargetMode="External"/><Relationship Id="rId12" Type="http://schemas.openxmlformats.org/officeDocument/2006/relationships/hyperlink" Target="https://lawreview.uchicago.edu/print-archive/autocratic-legalism" TargetMode="External"/><Relationship Id="rId13" Type="http://schemas.openxmlformats.org/officeDocument/2006/relationships/hyperlink" Target="https://doi.org/10.1080/13501763.2020.1712455" TargetMode="External"/><Relationship Id="rId14" Type="http://schemas.openxmlformats.org/officeDocument/2006/relationships/hyperlink" Target="https://2015-2019.kormany.hu/en/doc/the-hungarian-state/the-fundamental-law" TargetMode="External"/><Relationship Id="rId15" Type="http://schemas.openxmlformats.org/officeDocument/2006/relationships/hyperlink" Target="https://odihr.osce.org/odihr/elections/523565" TargetMode="External"/><Relationship Id="rId16" Type="http://schemas.openxmlformats.org/officeDocument/2006/relationships/hyperlink" Target="https://assembly.coe.int/LifeRay/MON/Pdf/DocsAndDecs/2017/AS-MON-2017-14-EN.pdf" TargetMode="External"/><Relationship Id="rId17" Type="http://schemas.openxmlformats.org/officeDocument/2006/relationships/hyperlink" Target="https://ec.europa.eu/commission/presscorner/api/files/document/print/en/ip_17_5367/IP_17_5367_EN.pdf" TargetMode="External"/><Relationship Id="rId18" Type="http://schemas.openxmlformats.org/officeDocument/2006/relationships/hyperlink" Target="https://curia.europa.eu/jcms/upload/docs/application/pdf/2019-06/cp190081en.pdf" TargetMode="External"/><Relationship Id="rId19" Type="http://schemas.openxmlformats.org/officeDocument/2006/relationships/hyperlink" Target="https://odihr.osce.org/odihr/elections/poland/555072" TargetMode="External"/><Relationship Id="rId20" Type="http://schemas.openxmlformats.org/officeDocument/2006/relationships/hyperlink" Target="https://commonslibrary.parliament.uk/research-briefings/cbp-9951/" TargetMode="External"/><Relationship Id="rId21" Type="http://schemas.openxmlformats.org/officeDocument/2006/relationships/hyperlink" Target="https://www.europarl.europa.eu/news/en/press-room/20180906IPR12104/rule-of-law-in-hungary-parliament-calls-on-the-eu-to-act" TargetMode="External"/><Relationship Id="rId22" Type="http://schemas.openxmlformats.org/officeDocument/2006/relationships/hyperlink" Target="https://www.consilium.europa.eu/en/press/press-releases/2022/12/12/rule-of-law-conditionality-mechanism/" TargetMode="External"/><Relationship Id="rId23" Type="http://schemas.openxmlformats.org/officeDocument/2006/relationships/hyperlink" Target="https://ec.europa.eu/commission/presscorner/detail/en/ip_23_6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匈牙利与波兰民主倒退比较分析</dc:title>
  <dc:subject>学术基础稿</dc:subject>
  <dc:creator>王涵</dc:creator>
  <cp:keywords/>
  <dc:description>generated by python-docx</dc:description>
  <cp:lastModifiedBy/>
  <cp:revision>1</cp:revision>
  <dcterms:created xsi:type="dcterms:W3CDTF">2013-12-23T23:15:00Z</dcterms:created>
  <dcterms:modified xsi:type="dcterms:W3CDTF">2013-12-23T23:15:00Z</dcterms:modified>
  <cp:category/>
</cp:coreProperties>
</file>