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民主倒退为何在欧盟内部发生</w:t>
      </w:r>
    </w:p>
    <w:p>
      <w:pPr>
        <w:pStyle w:val="Subtitle"/>
      </w:pPr>
      <w:r>
        <w:t>匈牙利与波兰比较分析六分钟演讲稿</w:t>
      </w:r>
    </w:p>
    <w:p>
      <w:pPr>
        <w:widowControl/>
      </w:pPr>
      <w:r>
        <w:rPr>
          <w:sz w:val="21"/>
        </w:rPr>
        <w:t>使用说明：正式讲述部分对应原PPT第1至9页，第10页为参考文献。计时包含停顿和换页，目标5分45秒至6分钟。时间提示、标题和后附讨论准备不朗读。研究观察截至2023年末。先按《03 原稿诊断与PPT修改清单》修正屏幕文字，避免讲述与页面冲突。</w:t>
      </w:r>
    </w:p>
    <w:p>
      <w:pPr>
        <w:pStyle w:val="Heading1"/>
      </w:pPr>
      <w:r>
        <w:t>正式讲述</w:t>
      </w:r>
    </w:p>
    <w:p>
      <w:pPr>
        <w:pStyle w:val="Heading2"/>
      </w:pPr>
      <w:r>
        <w:t>第1页 开场    0:00至0:15</w:t>
      </w:r>
    </w:p>
    <w:p>
      <w:pPr>
        <w:widowControl/>
      </w:pPr>
      <w:r>
        <w:t>老师、同学们好。今天我比较匈牙利与波兰的民主倒退，重点讨论国内制度制衡，以及欧盟约束的作用边界。</w:t>
      </w:r>
    </w:p>
    <w:p>
      <w:pPr>
        <w:pStyle w:val="Heading2"/>
      </w:pPr>
      <w:r>
        <w:t>第2页 研究问题    0:15至0:45</w:t>
      </w:r>
    </w:p>
    <w:p>
      <w:pPr>
        <w:widowControl/>
      </w:pPr>
      <w:r>
        <w:t>两国都在2004年加入欧盟，后来却出现司法独立受损和公共媒体政治化。欧盟成员资格，显然没有自动保障制度稳定。</w:t>
      </w:r>
    </w:p>
    <w:p>
      <w:pPr>
        <w:widowControl/>
      </w:pPr>
      <w:r>
        <w:t>我的问题是，执政党如何将选举胜利转化为对监督机构的控制？两国路径为何不同，欧盟又能纠正到什么程度？观察截至2023年末。</w:t>
      </w:r>
    </w:p>
    <w:p>
      <w:pPr>
        <w:widowControl/>
      </w:pPr>
      <w:r>
        <w:t>我在相近的转型和入盟背景下，比较两国不同的修宪能力及制度变化。</w:t>
      </w:r>
    </w:p>
    <w:p>
      <w:pPr>
        <w:pStyle w:val="Heading2"/>
      </w:pPr>
      <w:r>
        <w:t>第3页 理论综述    0:45至1:30</w:t>
      </w:r>
    </w:p>
    <w:p>
      <w:pPr>
        <w:widowControl/>
      </w:pPr>
      <w:r>
        <w:t>理论上，我采用两个概念。伯梅奥将民主倒退界定为国家主导的、对维系民主的制度的削弱，其中一种重要形式是行政权扩张。</w:t>
      </w:r>
    </w:p>
    <w:p>
      <w:pPr>
        <w:widowControl/>
      </w:pPr>
      <w:r>
        <w:t>舍佩莱的威权法制主义进一步说明，当选者可以借助修法和人事安排，削弱限制自身权力的机构。</w:t>
      </w:r>
    </w:p>
    <w:p>
      <w:pPr>
        <w:widowControl/>
      </w:pPr>
      <w:r>
        <w:t>因此，判断倒退，要看法院能否独立监督、媒体能否提供多元信息，以及反对派能否有效竞争。议会通过一项法律，也不能直接证明其符合宪法和欧盟法。</w:t>
      </w:r>
    </w:p>
    <w:p>
      <w:pPr>
        <w:widowControl/>
      </w:pPr>
      <w:r>
        <w:t>法院体现机构之间的横向问责，选举体现选民对执政者的纵向问责，两者需要联动观察。</w:t>
      </w:r>
    </w:p>
    <w:p>
      <w:pPr>
        <w:pStyle w:val="Heading2"/>
      </w:pPr>
      <w:r>
        <w:t>第4页 分析框架    1:30至2:05</w:t>
      </w:r>
    </w:p>
    <w:p>
      <w:pPr>
        <w:widowControl/>
      </w:pPr>
      <w:r>
        <w:t>我的分析链条是：选举胜利带来议会控制，议会控制提供制度改造手段，监督机构受到削弱，进而改变下一次选举的竞争条件。</w:t>
      </w:r>
    </w:p>
    <w:p>
      <w:pPr>
        <w:widowControl/>
      </w:pPr>
      <w:r>
        <w:t>比较的起点，是执政党有没有修宪多数。这个差别影响它能改哪些规则。欧盟则通过诉讼、政治程序和资金条件，增加具体措施的成本。</w:t>
      </w:r>
    </w:p>
    <w:p>
      <w:pPr>
        <w:widowControl/>
      </w:pPr>
      <w:r>
        <w:t>其中的反馈机制是，政府先改变监督者，再在约束减弱的条件下巩固自身优势。</w:t>
      </w:r>
    </w:p>
    <w:p>
      <w:pPr>
        <w:pStyle w:val="Heading2"/>
      </w:pPr>
      <w:r>
        <w:t>第5页 匈牙利    2:05至2:50</w:t>
      </w:r>
    </w:p>
    <w:p>
      <w:pPr>
        <w:widowControl/>
      </w:pPr>
      <w:r>
        <w:t>匈牙利的关键起点是2010年，执政联盟取得三分之二以上席位，能够独立推动宪法变更。2011年通过的新《基本法》，于2012年生效。</w:t>
      </w:r>
    </w:p>
    <w:p>
      <w:pPr>
        <w:widowControl/>
      </w:pPr>
      <w:r>
        <w:t>执政党随后持续改造法院、媒体和选举规则。这些变化相互配合，削弱了对政府的监督，也扩大了执政优势。</w:t>
      </w:r>
    </w:p>
    <w:p>
      <w:pPr>
        <w:widowControl/>
      </w:pPr>
      <w:r>
        <w:t>2022年欧安组织的评估指出，选举仍提供不同政治选择，但缺乏公平竞争条件。这里能够观察到，正式选举与制度制衡的削弱同时存在。</w:t>
      </w:r>
    </w:p>
    <w:p>
      <w:pPr>
        <w:pStyle w:val="Heading2"/>
      </w:pPr>
      <w:r>
        <w:t>第6页 波兰    2:50至3:40</w:t>
      </w:r>
    </w:p>
    <w:p>
      <w:pPr>
        <w:widowControl/>
      </w:pPr>
      <w:r>
        <w:t>波兰在2015年的起点不同。法律与公正党取得众议院绝对多数，却没有修宪多数，主要依靠普通立法和人事安排控制法院与公共媒体。</w:t>
      </w:r>
    </w:p>
    <w:p>
      <w:pPr>
        <w:widowControl/>
      </w:pPr>
      <w:r>
        <w:t>例如，最高法院法降低在任法官退休年龄。欧盟法院2019年认定相关规定违反欧盟法中的司法独立原则，说明外部法律约束能够作用于具体措施。</w:t>
      </w:r>
    </w:p>
    <w:p>
      <w:pPr>
        <w:widowControl/>
      </w:pPr>
      <w:r>
        <w:t>2023年，波兰仍在不平等的竞争环境中实现了执政更替。这个结果说明，当时选举问责仍可发挥作用；后续制度修复则需要继续观察。</w:t>
      </w:r>
    </w:p>
    <w:p>
      <w:pPr>
        <w:pStyle w:val="Heading2"/>
      </w:pPr>
      <w:r>
        <w:t>第7页 核心比较    3:40至4:20</w:t>
      </w:r>
    </w:p>
    <w:p>
      <w:pPr>
        <w:widowControl/>
      </w:pPr>
      <w:r>
        <w:t>两国共同点，是借助执政权改变监督机构。差异在于，匈牙利能够把改造推进到宪制层面，波兰更多依靠普通法律和机构干预。</w:t>
      </w:r>
    </w:p>
    <w:p>
      <w:pPr>
        <w:widowControl/>
      </w:pPr>
      <w:r>
        <w:t>这支持一个具体判断：修宪能力影响制度改造的范围。波兰的经验同时表明，普通立法和人事权也足以侵蚀制衡。剩余政治竞争，则影响执政党能否继续被选票更换。</w:t>
      </w:r>
    </w:p>
    <w:p>
      <w:pPr>
        <w:pStyle w:val="Heading2"/>
      </w:pPr>
      <w:r>
        <w:t>第8页 欧盟政策与评析    4:20至5:25</w:t>
      </w:r>
    </w:p>
    <w:p>
      <w:pPr>
        <w:widowControl/>
      </w:pPr>
      <w:r>
        <w:t>欧盟的工具需要分别评价。第七条程序中，对严重且持续违反共同价值的认定，需要除当事国外一致同意，政治门槛很高。</w:t>
      </w:r>
    </w:p>
    <w:p>
      <w:pPr>
        <w:widowControl/>
      </w:pPr>
      <w:r>
        <w:t>资金工具能够把改革条件接到拨款上。2022年，理事会决定暂停匈牙利约63亿欧元的凝聚政策预算承诺。这笔资金与复苏基金有不同的法律依据。</w:t>
      </w:r>
    </w:p>
    <w:p>
      <w:pPr>
        <w:widowControl/>
      </w:pPr>
      <w:r>
        <w:t>2023年，欧盟委员会认可部分司法改革，允许申请报销最高约102亿欧元的相关支出，同时仍维持上述63亿欧元的暂停安排。</w:t>
      </w:r>
    </w:p>
    <w:p>
      <w:pPr>
        <w:widowControl/>
      </w:pPr>
      <w:r>
        <w:t>这组事实说明，资金条件能够推动局部改革，但局部合规与整体民主恢复，需要分别检验。评价重点应放在改革是否执行，以及竞争条件是否改善。</w:t>
      </w:r>
    </w:p>
    <w:p>
      <w:pPr>
        <w:pStyle w:val="Heading2"/>
      </w:pPr>
      <w:r>
        <w:t>第9页 结论    5:25至5:55</w:t>
      </w:r>
    </w:p>
    <w:p>
      <w:pPr>
        <w:widowControl/>
      </w:pPr>
      <w:r>
        <w:t>回到研究问题：欧盟成员资格没有自动阻断执政党对监督机构的改造；修宪能力影响改造路径，剩余竞争影响选举问责；欧盟工具能够推动具体纠偏，其效果还需通过改革的执行与持续性判断。</w:t>
      </w:r>
    </w:p>
    <w:p>
      <w:pPr>
        <w:widowControl/>
      </w:pPr>
      <w:r>
        <w:t>这也是两国比较给出的主要结论。谢谢大家。</w:t>
      </w:r>
    </w:p>
    <w:p>
      <w:pPr>
        <w:pStyle w:val="Heading2"/>
      </w:pPr>
      <w:r>
        <w:t>第10页 参考文献    5:55至6:00。停留在参考文献页，进入讨论，不逐条朗读。</w:t>
      </w:r>
    </w:p>
    <w:p>
      <w:r>
        <w:br w:type="page"/>
      </w:r>
    </w:p>
    <w:p>
      <w:pPr>
        <w:pStyle w:val="Heading1"/>
      </w:pPr>
      <w:r>
        <w:t>赶时间时的压缩方法</w:t>
      </w:r>
    </w:p>
    <w:p>
      <w:pPr>
        <w:widowControl/>
      </w:pPr>
      <w:r>
        <w:t>第3页可删去关于法律评价的一句补充；第5页可删去新《基本法》的通过与生效日期；第8页可删去102亿欧元的金额，只保留部分司法改革获得认可、其他资金继续暂停的事实。三处合计约可节省20至30秒。优先保持案例比较与政策评析完整。</w:t>
      </w:r>
    </w:p>
    <w:p>
      <w:pPr>
        <w:pStyle w:val="Heading1"/>
      </w:pPr>
      <w:r>
        <w:t>三至五分钟讨论准备</w:t>
      </w:r>
    </w:p>
    <w:p>
      <w:pPr>
        <w:pStyle w:val="Heading2"/>
      </w:pPr>
      <w:r>
        <w:t>为什么选择这两个国家</w:t>
      </w:r>
    </w:p>
    <w:p>
      <w:pPr>
        <w:widowControl/>
      </w:pPr>
      <w:r>
        <w:t>两国有共同的转型与入盟背景，执政党在2010年代都推动了司法与媒体制度变更，但掌握的修宪能力不同，适合比较制度改造的路径。这是具有相似背景的结构化比较；两个案例能够检视机制，对欧盟全部成员国的普遍因果解释还需要扩大样本。</w:t>
      </w:r>
    </w:p>
    <w:p>
      <w:pPr>
        <w:pStyle w:val="Heading2"/>
      </w:pPr>
      <w:r>
        <w:t>修宪多数是否就是民主倒退的原因</w:t>
      </w:r>
    </w:p>
    <w:p>
      <w:pPr>
        <w:widowControl/>
      </w:pPr>
      <w:r>
        <w:t>本文把修宪多数作为影响制度改造手段的条件。具体后果取决于执政党如何运用权力。波兰缺乏修宪多数仍发生倒退，也说明普通立法和人事权可以削弱制衡。这个变量主要解释路径与改造范围。</w:t>
      </w:r>
    </w:p>
    <w:p>
      <w:pPr>
        <w:pStyle w:val="Heading2"/>
      </w:pPr>
      <w:r>
        <w:t>波兰2023年更替说明民主恢复了吗</w:t>
      </w:r>
    </w:p>
    <w:p>
      <w:pPr>
        <w:widowControl/>
      </w:pPr>
      <w:r>
        <w:t>它直接说明该次选举能够实现执政更替，也说明竞争空间尚未完全封闭。司法任命、法院权威和公共媒体等问题的修复，另需考察法律安排及实际执行。因此，我将执政更替与制度恢复分开判断。</w:t>
      </w:r>
    </w:p>
    <w:p>
      <w:pPr>
        <w:pStyle w:val="Heading2"/>
      </w:pPr>
      <w:r>
        <w:t>为什么没有把公民社会强弱作为主解释</w:t>
      </w:r>
    </w:p>
    <w:p>
      <w:pPr>
        <w:widowControl/>
      </w:pPr>
      <w:r>
        <w:t>抗议和社会动员当然重要，但仅列举两次大规模抗议，不足以测量两国公民社会的相对强度。更完整的解释需要观察组织网络、动员持续性、反对党协调以及向投票的转化。本次6分钟报告集中比较可明确观察的制度权限与竞争条件。</w:t>
      </w:r>
    </w:p>
    <w:p>
      <w:pPr>
        <w:pStyle w:val="Heading2"/>
      </w:pPr>
      <w:r>
        <w:t>欧盟到底有没有作用</w:t>
      </w:r>
    </w:p>
    <w:p>
      <w:pPr>
        <w:widowControl/>
      </w:pPr>
      <w:r>
        <w:t>有作用。最高法院退休年龄案展示了司法约束，匈牙利2023年部分司法改革得到认可展示了资金条件下的政策反馈。现有证据支持具体措施层面的约束效果；若要判断整体民主恢复，还需继续观察法院、媒体和选举环境。</w:t>
      </w:r>
    </w:p>
    <w:p>
      <w:pPr>
        <w:pStyle w:val="Heading2"/>
      </w:pPr>
      <w:r>
        <w:t>63亿和102亿欧元为什么会同时出现</w:t>
      </w:r>
    </w:p>
    <w:p>
      <w:pPr>
        <w:widowControl/>
      </w:pPr>
      <w:r>
        <w:t>它们对应不同拨款条件。63亿欧元是预算条件性机制下暂停的三个凝聚政策项目承诺；2023年允许申请报销最高102亿欧元，依据的是司法独立方面的横向有利条件得到满足。后一决定没有取消前一暂停安排，复苏基金又有自身的改革里程碑。</w:t>
      </w:r>
    </w:p>
    <w:p>
      <w:pPr>
        <w:pStyle w:val="Heading2"/>
      </w:pPr>
      <w:r>
        <w:t>研究为什么截至2023年</w:t>
      </w:r>
    </w:p>
    <w:p>
      <w:pPr>
        <w:widowControl/>
      </w:pPr>
      <w:r>
        <w:t>这一范围能够容纳两国的主要制度改造、波兰的选举更替，以及欧盟资金条件的早期反馈。我据此讨论特定历史阶段的机制。若扩展到之后的选举和司法修复，需要另设观察期，并更新相应证据。</w:t>
      </w:r>
    </w:p>
    <w:p>
      <w:pPr>
        <w:pStyle w:val="Heading1"/>
      </w:pPr>
      <w:r>
        <w:t>上台前只记住的逻辑</w:t>
      </w:r>
    </w:p>
    <w:p>
      <w:pPr>
        <w:widowControl/>
      </w:pPr>
      <w:r>
        <w:t>法院如何监督政府，媒体如何影响信息，规则如何影响竞争。匈牙利用修宪权扩大改造范围，波兰用普通法律推进机构控制。欧盟可以约束具体措施，制度恢复需要进一步证据。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76" w:bottom="1134" w:left="1276" w:header="482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8"/>
      </w:rPr>
      <w:t>比较政治学研究  期中课堂报告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Times New Roman" w:hAnsi="Times New Roman" w:eastAsia="宋体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Times New Roman" w:hAnsi="Times New Roman" w:eastAsia="黑体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Times New Roman" w:hAnsi="Times New Roman" w:eastAsia="黑体"/>
      <w:b w:val="0"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20"/>
      <w:outlineLvl w:val="2"/>
    </w:pPr>
    <w:rPr>
      <w:rFonts w:asciiTheme="majorHAnsi" w:eastAsiaTheme="majorEastAsia" w:hAnsiTheme="majorHAnsi" w:cstheme="majorBidi" w:ascii="Times New Roman" w:hAnsi="Times New Roman" w:eastAsia="黑体"/>
      <w:b w:val="0"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Times New Roman" w:hAnsi="Times New Roman" w:eastAsia="黑体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 w:ascii="Times New Roman" w:hAnsi="Times New Roman" w:eastAsia="宋体"/>
      <w:b w:val="0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匈牙利与波兰民主倒退比较分析</dc:title>
  <dc:subject>六分钟演讲稿</dc:subject>
  <dc:creator>王涵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